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E48" w:rsidRDefault="00996860" w:rsidP="00996860">
      <w:pPr>
        <w:ind w:hanging="426"/>
      </w:pPr>
      <w:r w:rsidRPr="00F277C6">
        <w:rPr>
          <w:rFonts w:ascii="Times New Roman" w:hAnsi="Times New Roman" w:cs="Times New Roman"/>
          <w:noProof/>
          <w:sz w:val="28"/>
          <w:szCs w:val="28"/>
          <w:lang w:eastAsia="ru-RU"/>
        </w:rPr>
        <w:drawing>
          <wp:inline distT="0" distB="0" distL="0" distR="0" wp14:anchorId="6FAC8B47" wp14:editId="49682073">
            <wp:extent cx="6042660" cy="1087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2977" cy="1087812"/>
                    </a:xfrm>
                    <a:prstGeom prst="rect">
                      <a:avLst/>
                    </a:prstGeom>
                    <a:noFill/>
                    <a:ln>
                      <a:noFill/>
                    </a:ln>
                  </pic:spPr>
                </pic:pic>
              </a:graphicData>
            </a:graphic>
          </wp:inline>
        </w:drawing>
      </w:r>
    </w:p>
    <w:p w:rsidR="00996860" w:rsidRDefault="00996860" w:rsidP="00996860">
      <w:pPr>
        <w:pStyle w:val="TableParagraph"/>
        <w:ind w:left="-567"/>
        <w:jc w:val="center"/>
        <w:rPr>
          <w:rFonts w:ascii="Times New Roman" w:hAnsi="Times New Roman"/>
          <w:b/>
          <w:sz w:val="24"/>
          <w:szCs w:val="24"/>
          <w:lang w:val="ru-RU" w:eastAsia="ru-RU"/>
        </w:rPr>
      </w:pPr>
      <w:proofErr w:type="spellStart"/>
      <w:r>
        <w:rPr>
          <w:rFonts w:ascii="Times New Roman" w:hAnsi="Times New Roman"/>
          <w:b/>
          <w:sz w:val="24"/>
          <w:szCs w:val="24"/>
          <w:lang w:val="ru-RU" w:eastAsia="ru-RU"/>
        </w:rPr>
        <w:t>Видеос</w:t>
      </w:r>
      <w:r w:rsidRPr="00F148D8">
        <w:rPr>
          <w:rFonts w:ascii="Times New Roman" w:hAnsi="Times New Roman"/>
          <w:b/>
          <w:sz w:val="24"/>
          <w:szCs w:val="24"/>
          <w:lang w:val="ru-RU" w:eastAsia="ru-RU"/>
        </w:rPr>
        <w:t>еминар</w:t>
      </w:r>
      <w:proofErr w:type="spellEnd"/>
      <w:r>
        <w:rPr>
          <w:rFonts w:ascii="Times New Roman" w:hAnsi="Times New Roman"/>
          <w:b/>
          <w:sz w:val="24"/>
          <w:szCs w:val="24"/>
          <w:lang w:val="ru-RU" w:eastAsia="ru-RU"/>
        </w:rPr>
        <w:t xml:space="preserve"> по теме</w:t>
      </w:r>
      <w:r w:rsidRPr="00F148D8">
        <w:rPr>
          <w:rFonts w:ascii="Times New Roman" w:hAnsi="Times New Roman"/>
          <w:b/>
          <w:sz w:val="24"/>
          <w:szCs w:val="24"/>
          <w:lang w:val="ru-RU" w:eastAsia="ru-RU"/>
        </w:rPr>
        <w:t>:</w:t>
      </w:r>
    </w:p>
    <w:p w:rsidR="000365C4" w:rsidRPr="005E49C1" w:rsidRDefault="000365C4" w:rsidP="000365C4">
      <w:pPr>
        <w:jc w:val="center"/>
        <w:rPr>
          <w:rFonts w:ascii="Times New Roman" w:hAnsi="Times New Roman" w:cs="Times New Roman"/>
          <w:b/>
          <w:sz w:val="24"/>
          <w:szCs w:val="24"/>
        </w:rPr>
      </w:pPr>
      <w:r w:rsidRPr="005E49C1">
        <w:rPr>
          <w:rFonts w:ascii="Times New Roman" w:hAnsi="Times New Roman" w:cs="Times New Roman"/>
          <w:b/>
          <w:sz w:val="24"/>
          <w:szCs w:val="24"/>
        </w:rPr>
        <w:t>«</w:t>
      </w:r>
      <w:r>
        <w:rPr>
          <w:rFonts w:ascii="Times New Roman" w:hAnsi="Times New Roman" w:cs="Times New Roman"/>
          <w:b/>
          <w:sz w:val="24"/>
          <w:szCs w:val="24"/>
        </w:rPr>
        <w:t>Процедура эмиссии ценных бумаг в соответствии с и</w:t>
      </w:r>
      <w:r w:rsidRPr="000A1E93">
        <w:rPr>
          <w:rFonts w:ascii="Times New Roman" w:hAnsi="Times New Roman" w:cs="Times New Roman"/>
          <w:b/>
          <w:sz w:val="24"/>
          <w:szCs w:val="24"/>
        </w:rPr>
        <w:t>зменения</w:t>
      </w:r>
      <w:r>
        <w:rPr>
          <w:rFonts w:ascii="Times New Roman" w:hAnsi="Times New Roman" w:cs="Times New Roman"/>
          <w:b/>
          <w:sz w:val="24"/>
          <w:szCs w:val="24"/>
        </w:rPr>
        <w:t>ми</w:t>
      </w:r>
      <w:r w:rsidRPr="000A1E93">
        <w:rPr>
          <w:rFonts w:ascii="Times New Roman" w:hAnsi="Times New Roman" w:cs="Times New Roman"/>
          <w:b/>
          <w:sz w:val="24"/>
          <w:szCs w:val="24"/>
        </w:rPr>
        <w:t xml:space="preserve"> </w:t>
      </w:r>
      <w:r>
        <w:rPr>
          <w:rFonts w:ascii="Times New Roman" w:hAnsi="Times New Roman" w:cs="Times New Roman"/>
          <w:b/>
          <w:sz w:val="24"/>
          <w:szCs w:val="24"/>
        </w:rPr>
        <w:t>законодательства Российской Федерации о ценных бумагах. Раскрытие информации на этапах процедуры эмиссии ценных бумаг в соответствии новым Положением о раскрытии информации эмитентами эмиссионных ценных бумаг</w:t>
      </w:r>
      <w:r w:rsidRPr="005E49C1">
        <w:rPr>
          <w:rFonts w:ascii="Times New Roman" w:hAnsi="Times New Roman" w:cs="Times New Roman"/>
          <w:b/>
          <w:sz w:val="24"/>
          <w:szCs w:val="24"/>
        </w:rPr>
        <w:t>»</w:t>
      </w:r>
    </w:p>
    <w:p w:rsidR="00AC3931" w:rsidRPr="001F4770" w:rsidRDefault="00AC3931" w:rsidP="00AC3931">
      <w:pPr>
        <w:pStyle w:val="TableParagraph"/>
        <w:ind w:left="-567" w:firstLine="283"/>
        <w:jc w:val="both"/>
        <w:rPr>
          <w:rFonts w:ascii="Times New Roman" w:hAnsi="Times New Roman"/>
          <w:i/>
          <w:sz w:val="24"/>
          <w:szCs w:val="24"/>
          <w:lang w:val="ru-RU"/>
        </w:rPr>
      </w:pPr>
      <w:r w:rsidRPr="00AC3931">
        <w:rPr>
          <w:rFonts w:ascii="Times New Roman" w:hAnsi="Times New Roman"/>
          <w:color w:val="000000"/>
          <w:sz w:val="24"/>
          <w:szCs w:val="24"/>
          <w:shd w:val="clear" w:color="auto" w:fill="FFFFFF"/>
          <w:lang w:val="ru-RU"/>
        </w:rPr>
        <w:t>Институт МФЦ</w:t>
      </w:r>
      <w:r>
        <w:rPr>
          <w:rFonts w:ascii="Times New Roman" w:hAnsi="Times New Roman"/>
          <w:color w:val="000000"/>
          <w:sz w:val="24"/>
          <w:szCs w:val="24"/>
          <w:shd w:val="clear" w:color="auto" w:fill="FFFFFF"/>
          <w:lang w:val="ru-RU"/>
        </w:rPr>
        <w:t xml:space="preserve"> представляет уникальный </w:t>
      </w:r>
      <w:proofErr w:type="spellStart"/>
      <w:r>
        <w:rPr>
          <w:rFonts w:ascii="Times New Roman" w:hAnsi="Times New Roman"/>
          <w:color w:val="000000"/>
          <w:sz w:val="24"/>
          <w:szCs w:val="24"/>
          <w:shd w:val="clear" w:color="auto" w:fill="FFFFFF"/>
          <w:lang w:val="ru-RU"/>
        </w:rPr>
        <w:t>видеосеминар</w:t>
      </w:r>
      <w:proofErr w:type="spellEnd"/>
      <w:r>
        <w:rPr>
          <w:rFonts w:ascii="Times New Roman" w:hAnsi="Times New Roman"/>
          <w:color w:val="000000"/>
          <w:sz w:val="24"/>
          <w:szCs w:val="24"/>
          <w:shd w:val="clear" w:color="auto" w:fill="FFFFFF"/>
          <w:lang w:val="ru-RU"/>
        </w:rPr>
        <w:t xml:space="preserve"> </w:t>
      </w:r>
      <w:r w:rsidR="000365C4" w:rsidRPr="000365C4">
        <w:rPr>
          <w:rFonts w:ascii="Times New Roman" w:hAnsi="Times New Roman"/>
          <w:sz w:val="24"/>
          <w:szCs w:val="24"/>
          <w:lang w:val="ru-RU"/>
        </w:rPr>
        <w:t>«Процедура эмиссии ценных бумаг в соответствии с изменениями законодательства Российской Федерации о ценных бумагах. Раскрытие информации на этапах процедуры эмиссии ценных бумаг в соответствии новым Положением о раскрытии информации эмитентами эмиссионных ценных бумаг»</w:t>
      </w:r>
      <w:r w:rsidR="001F4770" w:rsidRPr="000365C4">
        <w:rPr>
          <w:rFonts w:ascii="Times New Roman" w:hAnsi="Times New Roman"/>
          <w:sz w:val="24"/>
          <w:szCs w:val="24"/>
          <w:lang w:val="ru-RU"/>
        </w:rPr>
        <w:t>,</w:t>
      </w:r>
      <w:r w:rsidR="001F4770">
        <w:rPr>
          <w:rFonts w:ascii="Times New Roman" w:hAnsi="Times New Roman"/>
          <w:color w:val="000000"/>
          <w:sz w:val="24"/>
          <w:szCs w:val="24"/>
          <w:shd w:val="clear" w:color="auto" w:fill="FFFFFF"/>
          <w:lang w:val="ru-RU"/>
        </w:rPr>
        <w:t xml:space="preserve"> </w:t>
      </w:r>
      <w:r w:rsidR="000365C4">
        <w:rPr>
          <w:rFonts w:ascii="Times New Roman" w:hAnsi="Times New Roman"/>
          <w:color w:val="000000"/>
          <w:sz w:val="24"/>
          <w:szCs w:val="24"/>
          <w:shd w:val="clear" w:color="auto" w:fill="FFFFFF"/>
          <w:lang w:val="ru-RU"/>
        </w:rPr>
        <w:t>разработчиком,</w:t>
      </w:r>
      <w:r w:rsidR="001F4770">
        <w:rPr>
          <w:rFonts w:ascii="Times New Roman" w:hAnsi="Times New Roman"/>
          <w:color w:val="000000"/>
          <w:sz w:val="24"/>
          <w:szCs w:val="24"/>
          <w:shd w:val="clear" w:color="auto" w:fill="FFFFFF"/>
          <w:lang w:val="ru-RU"/>
        </w:rPr>
        <w:t xml:space="preserve"> который выступил </w:t>
      </w:r>
      <w:r w:rsidR="00676EB1" w:rsidRPr="00676EB1">
        <w:rPr>
          <w:rFonts w:ascii="Times New Roman" w:hAnsi="Times New Roman"/>
          <w:color w:val="000000"/>
          <w:sz w:val="24"/>
          <w:szCs w:val="24"/>
          <w:shd w:val="clear" w:color="auto" w:fill="FFFFFF"/>
          <w:lang w:val="ru-RU"/>
        </w:rPr>
        <w:t>преподаватель Института МФЦ, руководитель консалтинговой компании, обладающий практической опытом в области корпоративного права и эмиссии ценных бумаг (более 20 лет), автор статей в журнале «Акционерный вестник» — «Реорганизация акционерного общества в форме разделения», «Реорганизация акционерного общества в форме присоединения», «Преимущественное право приобретения дополнительных акций, размещаемых акционерным обществом посредством подписки», «Цена размещения дополнительных акций» и др. Кондратьева В.А.</w:t>
      </w:r>
    </w:p>
    <w:p w:rsidR="00996860" w:rsidRDefault="00996860" w:rsidP="00996860">
      <w:pPr>
        <w:pStyle w:val="TableParagraph"/>
        <w:ind w:left="-567" w:firstLine="283"/>
        <w:jc w:val="both"/>
        <w:rPr>
          <w:rFonts w:ascii="Times New Roman" w:hAnsi="Times New Roman"/>
          <w:bCs/>
          <w:sz w:val="24"/>
          <w:szCs w:val="24"/>
          <w:lang w:val="ru-RU"/>
        </w:rPr>
      </w:pPr>
      <w:proofErr w:type="spellStart"/>
      <w:r>
        <w:rPr>
          <w:rFonts w:ascii="Times New Roman" w:hAnsi="Times New Roman"/>
          <w:i/>
          <w:sz w:val="24"/>
          <w:szCs w:val="24"/>
          <w:lang w:val="ru-RU"/>
        </w:rPr>
        <w:t>Видеосеми</w:t>
      </w:r>
      <w:r w:rsidRPr="00996860">
        <w:rPr>
          <w:rFonts w:ascii="Times New Roman" w:hAnsi="Times New Roman"/>
          <w:i/>
          <w:sz w:val="24"/>
          <w:szCs w:val="24"/>
          <w:lang w:val="ru-RU"/>
        </w:rPr>
        <w:t>нар</w:t>
      </w:r>
      <w:proofErr w:type="spellEnd"/>
      <w:r w:rsidRPr="00996860">
        <w:rPr>
          <w:rFonts w:ascii="Times New Roman" w:hAnsi="Times New Roman"/>
          <w:i/>
          <w:sz w:val="24"/>
          <w:szCs w:val="24"/>
          <w:lang w:val="ru-RU"/>
        </w:rPr>
        <w:t xml:space="preserve"> рассчитан на представителей организаций (руководителей, юристов, проектных менеджеров) — действующих, потенциальных участников </w:t>
      </w:r>
      <w:r w:rsidRPr="00996860">
        <w:rPr>
          <w:rFonts w:ascii="Times New Roman" w:hAnsi="Times New Roman"/>
          <w:i/>
          <w:color w:val="000000"/>
          <w:sz w:val="24"/>
          <w:szCs w:val="24"/>
          <w:shd w:val="clear" w:color="auto" w:fill="FFFFFF"/>
          <w:lang w:val="ru-RU"/>
        </w:rPr>
        <w:t>выпуска, учета и обращения цифровых финансовых активов, включая акционерные общества (возможность осуществления прав по акциям которых или прав требования передачи акций которых удостоверяется ЦФА), операторов информационных систем, операторов обмена цифровых финансовых активов, депозитариев, регистраторов</w:t>
      </w:r>
      <w:r>
        <w:rPr>
          <w:rFonts w:ascii="Times New Roman" w:hAnsi="Times New Roman"/>
          <w:i/>
          <w:color w:val="000000"/>
          <w:sz w:val="24"/>
          <w:szCs w:val="24"/>
          <w:shd w:val="clear" w:color="auto" w:fill="FFFFFF"/>
          <w:lang w:val="ru-RU"/>
        </w:rPr>
        <w:t xml:space="preserve"> и </w:t>
      </w:r>
      <w:proofErr w:type="spellStart"/>
      <w:r>
        <w:rPr>
          <w:rFonts w:ascii="Times New Roman" w:hAnsi="Times New Roman"/>
          <w:i/>
          <w:color w:val="000000"/>
          <w:sz w:val="24"/>
          <w:szCs w:val="24"/>
          <w:shd w:val="clear" w:color="auto" w:fill="FFFFFF"/>
          <w:lang w:val="ru-RU"/>
        </w:rPr>
        <w:t>нек.др</w:t>
      </w:r>
      <w:proofErr w:type="spellEnd"/>
      <w:r>
        <w:rPr>
          <w:rFonts w:ascii="Times New Roman" w:hAnsi="Times New Roman"/>
          <w:i/>
          <w:color w:val="000000"/>
          <w:sz w:val="24"/>
          <w:szCs w:val="24"/>
          <w:shd w:val="clear" w:color="auto" w:fill="FFFFFF"/>
          <w:lang w:val="ru-RU"/>
        </w:rPr>
        <w:t>.</w:t>
      </w:r>
      <w:r w:rsidRPr="00996860">
        <w:rPr>
          <w:rFonts w:ascii="Times New Roman" w:hAnsi="Times New Roman"/>
          <w:bCs/>
          <w:sz w:val="24"/>
          <w:szCs w:val="24"/>
          <w:lang w:val="ru-RU"/>
        </w:rPr>
        <w:t xml:space="preserve"> </w:t>
      </w:r>
    </w:p>
    <w:p w:rsidR="00996860" w:rsidRPr="00996860" w:rsidRDefault="00C32E91" w:rsidP="00996860">
      <w:pPr>
        <w:pStyle w:val="TableParagraph"/>
        <w:ind w:left="-567" w:firstLine="283"/>
        <w:jc w:val="both"/>
        <w:rPr>
          <w:rFonts w:ascii="Times New Roman" w:hAnsi="Times New Roman"/>
          <w:bCs/>
          <w:sz w:val="24"/>
          <w:szCs w:val="24"/>
          <w:lang w:val="ru-RU"/>
        </w:rPr>
      </w:pPr>
      <w:r>
        <w:rPr>
          <w:rFonts w:ascii="Times New Roman" w:hAnsi="Times New Roman"/>
          <w:bCs/>
          <w:sz w:val="24"/>
          <w:szCs w:val="24"/>
          <w:lang w:val="ru-RU"/>
        </w:rPr>
        <w:t>О</w:t>
      </w:r>
      <w:r w:rsidR="00996860" w:rsidRPr="00996860">
        <w:rPr>
          <w:rFonts w:ascii="Times New Roman" w:hAnsi="Times New Roman"/>
          <w:bCs/>
          <w:sz w:val="24"/>
          <w:szCs w:val="24"/>
          <w:lang w:val="ru-RU"/>
        </w:rPr>
        <w:t>сновные темы, которые рассматриваются</w:t>
      </w:r>
      <w:r w:rsidR="005C41A1">
        <w:rPr>
          <w:rFonts w:ascii="Times New Roman" w:hAnsi="Times New Roman"/>
          <w:bCs/>
          <w:sz w:val="24"/>
          <w:szCs w:val="24"/>
          <w:lang w:val="ru-RU"/>
        </w:rPr>
        <w:t>:</w:t>
      </w:r>
    </w:p>
    <w:p w:rsidR="00680149" w:rsidRPr="0002282E" w:rsidRDefault="00680149" w:rsidP="00680149">
      <w:pPr>
        <w:pStyle w:val="a6"/>
        <w:numPr>
          <w:ilvl w:val="0"/>
          <w:numId w:val="2"/>
        </w:numPr>
        <w:ind w:left="0" w:hanging="567"/>
        <w:rPr>
          <w:rFonts w:ascii="Times New Roman" w:hAnsi="Times New Roman"/>
          <w:b/>
          <w:sz w:val="24"/>
          <w:szCs w:val="24"/>
        </w:rPr>
      </w:pPr>
      <w:bookmarkStart w:id="0" w:name="_GoBack"/>
      <w:bookmarkEnd w:id="0"/>
      <w:r w:rsidRPr="0002282E">
        <w:rPr>
          <w:rFonts w:ascii="Times New Roman" w:hAnsi="Times New Roman"/>
          <w:b/>
          <w:sz w:val="24"/>
          <w:szCs w:val="24"/>
        </w:rPr>
        <w:t>Процедура эмиссии ценных бумаг.</w:t>
      </w:r>
    </w:p>
    <w:p w:rsidR="00680149" w:rsidRPr="00C71D5B" w:rsidRDefault="00680149" w:rsidP="00680149">
      <w:pPr>
        <w:pStyle w:val="a6"/>
        <w:numPr>
          <w:ilvl w:val="1"/>
          <w:numId w:val="4"/>
        </w:numPr>
        <w:ind w:left="0" w:right="-284" w:hanging="567"/>
        <w:rPr>
          <w:rFonts w:ascii="Times New Roman" w:hAnsi="Times New Roman" w:cs="Times New Roman"/>
          <w:sz w:val="24"/>
          <w:szCs w:val="24"/>
        </w:rPr>
      </w:pPr>
      <w:r w:rsidRPr="00C71D5B">
        <w:rPr>
          <w:rFonts w:ascii="Times New Roman" w:hAnsi="Times New Roman" w:cs="Times New Roman"/>
          <w:color w:val="000000"/>
          <w:sz w:val="24"/>
          <w:szCs w:val="24"/>
        </w:rPr>
        <w:t>Этапы процедуры эмиссии ценных бумаг.</w:t>
      </w:r>
    </w:p>
    <w:p w:rsidR="00680149" w:rsidRPr="00886E44" w:rsidRDefault="00680149" w:rsidP="00680149">
      <w:pPr>
        <w:pStyle w:val="a6"/>
        <w:numPr>
          <w:ilvl w:val="1"/>
          <w:numId w:val="4"/>
        </w:numPr>
        <w:ind w:left="0" w:hanging="567"/>
        <w:rPr>
          <w:rFonts w:ascii="Times New Roman" w:hAnsi="Times New Roman" w:cs="Times New Roman"/>
          <w:sz w:val="24"/>
          <w:szCs w:val="24"/>
        </w:rPr>
      </w:pPr>
      <w:r w:rsidRPr="00886E44">
        <w:rPr>
          <w:rFonts w:ascii="Times New Roman" w:hAnsi="Times New Roman" w:cs="Times New Roman"/>
          <w:color w:val="000000"/>
          <w:sz w:val="24"/>
          <w:szCs w:val="24"/>
        </w:rPr>
        <w:t>Эмиссионные документы</w:t>
      </w:r>
      <w:r>
        <w:rPr>
          <w:rFonts w:ascii="Times New Roman" w:hAnsi="Times New Roman" w:cs="Times New Roman"/>
          <w:color w:val="000000"/>
          <w:sz w:val="24"/>
          <w:szCs w:val="24"/>
        </w:rPr>
        <w:t xml:space="preserve"> в соответствии с новым Положением о стандартах эмиссии ценных бумаг</w:t>
      </w:r>
      <w:r w:rsidRPr="00886E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85A03">
        <w:rPr>
          <w:rFonts w:ascii="Times New Roman" w:hAnsi="Times New Roman"/>
          <w:sz w:val="24"/>
          <w:szCs w:val="24"/>
        </w:rPr>
        <w:t>Изменение требований к содержанию, утверждению и подписанию эмиссионных документов.</w:t>
      </w:r>
    </w:p>
    <w:p w:rsidR="00680149" w:rsidRPr="00886E44" w:rsidRDefault="00680149" w:rsidP="00680149">
      <w:pPr>
        <w:pStyle w:val="a6"/>
        <w:numPr>
          <w:ilvl w:val="1"/>
          <w:numId w:val="4"/>
        </w:numPr>
        <w:ind w:left="0" w:hanging="567"/>
        <w:rPr>
          <w:rFonts w:ascii="Times New Roman" w:hAnsi="Times New Roman" w:cs="Times New Roman"/>
          <w:sz w:val="24"/>
          <w:szCs w:val="24"/>
        </w:rPr>
      </w:pPr>
      <w:r w:rsidRPr="00886E44">
        <w:rPr>
          <w:rFonts w:ascii="Times New Roman" w:hAnsi="Times New Roman" w:cs="Times New Roman"/>
          <w:color w:val="000000"/>
          <w:sz w:val="24"/>
          <w:szCs w:val="24"/>
        </w:rPr>
        <w:t xml:space="preserve">Регистрация или государственная регистрация выпуска ценных бумаг. </w:t>
      </w:r>
      <w:r w:rsidRPr="00585A03">
        <w:rPr>
          <w:rFonts w:ascii="Times New Roman" w:hAnsi="Times New Roman"/>
          <w:sz w:val="24"/>
          <w:szCs w:val="24"/>
        </w:rPr>
        <w:t>Возможность регистрации выпусков (дополнительных выпусков) ценных бумаг регистрирующими организациями (регистраторами, биржами, центральным депозитарием).</w:t>
      </w:r>
    </w:p>
    <w:p w:rsidR="00680149" w:rsidRPr="0002282E" w:rsidRDefault="00680149" w:rsidP="00680149">
      <w:pPr>
        <w:pStyle w:val="a6"/>
        <w:numPr>
          <w:ilvl w:val="0"/>
          <w:numId w:val="2"/>
        </w:numPr>
        <w:ind w:left="0" w:hanging="567"/>
        <w:rPr>
          <w:rFonts w:ascii="Times New Roman" w:hAnsi="Times New Roman" w:cs="Times New Roman"/>
          <w:b/>
          <w:sz w:val="24"/>
          <w:szCs w:val="24"/>
        </w:rPr>
      </w:pPr>
      <w:r w:rsidRPr="0002282E">
        <w:rPr>
          <w:rFonts w:ascii="Times New Roman" w:hAnsi="Times New Roman" w:cs="Times New Roman"/>
          <w:b/>
          <w:color w:val="000000"/>
          <w:sz w:val="24"/>
          <w:szCs w:val="24"/>
        </w:rPr>
        <w:t>Способы размещения ценных бумаг.</w:t>
      </w:r>
    </w:p>
    <w:p w:rsidR="00680149" w:rsidRPr="00C71D5B" w:rsidRDefault="00680149" w:rsidP="00680149">
      <w:pPr>
        <w:pStyle w:val="a6"/>
        <w:numPr>
          <w:ilvl w:val="1"/>
          <w:numId w:val="3"/>
        </w:numPr>
        <w:ind w:left="0" w:hanging="567"/>
        <w:rPr>
          <w:rFonts w:ascii="Times New Roman" w:hAnsi="Times New Roman" w:cs="Times New Roman"/>
          <w:color w:val="000000"/>
          <w:sz w:val="24"/>
          <w:szCs w:val="24"/>
        </w:rPr>
      </w:pPr>
      <w:r w:rsidRPr="00C71D5B">
        <w:rPr>
          <w:rFonts w:ascii="Times New Roman" w:hAnsi="Times New Roman" w:cs="Times New Roman"/>
          <w:color w:val="000000"/>
          <w:sz w:val="24"/>
          <w:szCs w:val="24"/>
        </w:rPr>
        <w:t xml:space="preserve">Особенности эмиссии акций, размещаемых при учреждении акционерного общества. </w:t>
      </w:r>
      <w:r w:rsidRPr="00C71D5B">
        <w:rPr>
          <w:rFonts w:ascii="Times New Roman" w:hAnsi="Times New Roman"/>
          <w:sz w:val="24"/>
          <w:szCs w:val="24"/>
        </w:rPr>
        <w:t xml:space="preserve">Изменение процедуры эмиссии акций при учреждении акционерного общества.  Возможность регистрации выпусков акций, подлежащих размещению </w:t>
      </w:r>
      <w:r w:rsidRPr="00C71D5B">
        <w:rPr>
          <w:rFonts w:ascii="Times New Roman" w:hAnsi="Times New Roman" w:cs="Times New Roman"/>
          <w:color w:val="000000"/>
          <w:sz w:val="24"/>
          <w:szCs w:val="24"/>
        </w:rPr>
        <w:t>при учреждении акционерного общества, регистратором.</w:t>
      </w:r>
    </w:p>
    <w:p w:rsidR="00680149" w:rsidRPr="00C71D5B" w:rsidRDefault="00680149" w:rsidP="00680149">
      <w:pPr>
        <w:pStyle w:val="a6"/>
        <w:numPr>
          <w:ilvl w:val="1"/>
          <w:numId w:val="3"/>
        </w:numPr>
        <w:ind w:left="0" w:hanging="567"/>
        <w:rPr>
          <w:rFonts w:ascii="Times New Roman" w:hAnsi="Times New Roman" w:cs="Times New Roman"/>
          <w:color w:val="000000"/>
          <w:sz w:val="24"/>
          <w:szCs w:val="24"/>
        </w:rPr>
      </w:pPr>
      <w:r w:rsidRPr="0002282E">
        <w:rPr>
          <w:rFonts w:ascii="Times New Roman" w:hAnsi="Times New Roman" w:cs="Times New Roman"/>
          <w:color w:val="000000"/>
          <w:sz w:val="24"/>
          <w:szCs w:val="24"/>
        </w:rPr>
        <w:t>Особенности распределения дополнительных акций среди акционеров за счет собственных средств акционерного общества.</w:t>
      </w:r>
    </w:p>
    <w:p w:rsidR="00680149" w:rsidRPr="00C71D5B" w:rsidRDefault="00680149" w:rsidP="00680149">
      <w:pPr>
        <w:pStyle w:val="a6"/>
        <w:numPr>
          <w:ilvl w:val="1"/>
          <w:numId w:val="3"/>
        </w:numPr>
        <w:ind w:left="0" w:hanging="567"/>
        <w:rPr>
          <w:rFonts w:ascii="Times New Roman" w:hAnsi="Times New Roman" w:cs="Times New Roman"/>
          <w:color w:val="000000"/>
          <w:sz w:val="24"/>
          <w:szCs w:val="24"/>
        </w:rPr>
      </w:pPr>
      <w:r w:rsidRPr="00C71D5B">
        <w:rPr>
          <w:rFonts w:ascii="Times New Roman" w:hAnsi="Times New Roman" w:cs="Times New Roman"/>
          <w:color w:val="000000"/>
          <w:sz w:val="24"/>
          <w:szCs w:val="24"/>
        </w:rPr>
        <w:t xml:space="preserve">Подписка: </w:t>
      </w:r>
      <w:r w:rsidRPr="00C42625">
        <w:rPr>
          <w:rFonts w:ascii="Times New Roman" w:hAnsi="Times New Roman" w:cs="Times New Roman"/>
          <w:color w:val="000000"/>
          <w:sz w:val="24"/>
          <w:szCs w:val="24"/>
        </w:rPr>
        <w:t xml:space="preserve">Отличительные особенности открытой и закрытой подписки. Проспект ценных бумаг или документ, содержащий условия размещения ценных бумаг. Процедура эмиссии ценных бумаг, размещаемых путем подписки. Преимущественное право приобретения размещаемых ценных бумаг или пропорциональное размещение дополнительных акций среди акционеров, двухэтапное размещение дополнительных акций только среди акционеров акционерного общества. </w:t>
      </w:r>
      <w:r>
        <w:rPr>
          <w:rFonts w:ascii="Times New Roman" w:hAnsi="Times New Roman" w:cs="Times New Roman"/>
          <w:color w:val="000000"/>
          <w:sz w:val="24"/>
          <w:szCs w:val="24"/>
        </w:rPr>
        <w:t xml:space="preserve">Особенности оплаты размещаемых ценных бумаг денежными средства с возможностью оплаты путем зачета денежных требований к эмитенту, а также </w:t>
      </w:r>
      <w:proofErr w:type="spellStart"/>
      <w:r>
        <w:rPr>
          <w:rFonts w:ascii="Times New Roman" w:hAnsi="Times New Roman" w:cs="Times New Roman"/>
          <w:color w:val="000000"/>
          <w:sz w:val="24"/>
          <w:szCs w:val="24"/>
        </w:rPr>
        <w:t>неденежными</w:t>
      </w:r>
      <w:proofErr w:type="spellEnd"/>
      <w:r>
        <w:rPr>
          <w:rFonts w:ascii="Times New Roman" w:hAnsi="Times New Roman" w:cs="Times New Roman"/>
          <w:color w:val="000000"/>
          <w:sz w:val="24"/>
          <w:szCs w:val="24"/>
        </w:rPr>
        <w:t xml:space="preserve"> средствами. Внесение изменений в проспект ценных бумаг или в документ, содержащий условия размещения ценных бумаг, в том числе в части увеличения срока размещения ценных бумаг. </w:t>
      </w:r>
      <w:r w:rsidRPr="00C42625">
        <w:rPr>
          <w:rFonts w:ascii="Times New Roman" w:hAnsi="Times New Roman" w:cs="Times New Roman"/>
          <w:color w:val="000000"/>
          <w:sz w:val="24"/>
          <w:szCs w:val="24"/>
        </w:rPr>
        <w:t xml:space="preserve">Завершение процедуры эмиссии ценных </w:t>
      </w:r>
      <w:r w:rsidRPr="00C42625">
        <w:rPr>
          <w:rFonts w:ascii="Times New Roman" w:hAnsi="Times New Roman" w:cs="Times New Roman"/>
          <w:color w:val="000000"/>
          <w:sz w:val="24"/>
          <w:szCs w:val="24"/>
        </w:rPr>
        <w:lastRenderedPageBreak/>
        <w:t>бумаг на этапе государственной регистрации отчета об итогах их выпуска или представления уведомления об итогах выпуска ценных бумаг</w:t>
      </w:r>
      <w:r>
        <w:rPr>
          <w:rFonts w:ascii="Times New Roman" w:hAnsi="Times New Roman" w:cs="Times New Roman"/>
          <w:color w:val="000000"/>
          <w:sz w:val="24"/>
          <w:szCs w:val="24"/>
        </w:rPr>
        <w:t>.</w:t>
      </w:r>
    </w:p>
    <w:p w:rsidR="00680149" w:rsidRDefault="00680149" w:rsidP="00680149">
      <w:pPr>
        <w:pStyle w:val="a6"/>
        <w:numPr>
          <w:ilvl w:val="0"/>
          <w:numId w:val="2"/>
        </w:numPr>
        <w:ind w:left="0" w:hanging="567"/>
        <w:rPr>
          <w:rFonts w:ascii="Times New Roman" w:hAnsi="Times New Roman" w:cs="Times New Roman"/>
          <w:b/>
          <w:sz w:val="24"/>
          <w:szCs w:val="24"/>
        </w:rPr>
      </w:pPr>
      <w:r w:rsidRPr="00655C2E">
        <w:rPr>
          <w:rFonts w:ascii="Times New Roman" w:hAnsi="Times New Roman" w:cs="Times New Roman"/>
          <w:b/>
          <w:sz w:val="24"/>
          <w:szCs w:val="24"/>
        </w:rPr>
        <w:t>Раскрытие информации на этапах процедуры эмиссии ценных бумаг.</w:t>
      </w:r>
    </w:p>
    <w:p w:rsidR="00680149" w:rsidRPr="00655C2E" w:rsidRDefault="00680149" w:rsidP="00680149">
      <w:pPr>
        <w:pStyle w:val="a6"/>
        <w:numPr>
          <w:ilvl w:val="0"/>
          <w:numId w:val="2"/>
        </w:numPr>
        <w:ind w:left="0" w:hanging="567"/>
        <w:rPr>
          <w:rFonts w:ascii="Times New Roman" w:hAnsi="Times New Roman" w:cs="Times New Roman"/>
          <w:b/>
          <w:sz w:val="24"/>
          <w:szCs w:val="24"/>
        </w:rPr>
      </w:pPr>
      <w:r w:rsidRPr="00655C2E">
        <w:rPr>
          <w:rFonts w:ascii="Times New Roman" w:hAnsi="Times New Roman" w:cs="Times New Roman"/>
          <w:b/>
          <w:sz w:val="24"/>
          <w:szCs w:val="24"/>
        </w:rPr>
        <w:t>Ответственность на нарушение процедуры эмиссии ценных бумаг</w:t>
      </w:r>
      <w:r>
        <w:rPr>
          <w:rFonts w:ascii="Times New Roman" w:hAnsi="Times New Roman" w:cs="Times New Roman"/>
          <w:b/>
          <w:sz w:val="24"/>
          <w:szCs w:val="24"/>
        </w:rPr>
        <w:t xml:space="preserve">, а также </w:t>
      </w:r>
      <w:r w:rsidRPr="00655C2E">
        <w:rPr>
          <w:rFonts w:ascii="Times New Roman" w:hAnsi="Times New Roman" w:cs="Times New Roman"/>
          <w:b/>
          <w:sz w:val="24"/>
          <w:szCs w:val="24"/>
        </w:rPr>
        <w:t xml:space="preserve">порядка </w:t>
      </w:r>
      <w:r>
        <w:rPr>
          <w:rFonts w:ascii="Times New Roman" w:hAnsi="Times New Roman" w:cs="Times New Roman"/>
          <w:b/>
          <w:sz w:val="24"/>
          <w:szCs w:val="24"/>
        </w:rPr>
        <w:t xml:space="preserve">и </w:t>
      </w:r>
      <w:r w:rsidRPr="00655C2E">
        <w:rPr>
          <w:rFonts w:ascii="Times New Roman" w:hAnsi="Times New Roman" w:cs="Times New Roman"/>
          <w:b/>
          <w:sz w:val="24"/>
          <w:szCs w:val="24"/>
        </w:rPr>
        <w:t>сроков раскрытия информации эмитентами эмиссионных ценных бумаг.</w:t>
      </w:r>
    </w:p>
    <w:p w:rsidR="005C41A1" w:rsidRPr="005C187A" w:rsidRDefault="005C41A1" w:rsidP="000365C4">
      <w:pPr>
        <w:pStyle w:val="a3"/>
        <w:ind w:left="-567"/>
        <w:jc w:val="both"/>
        <w:rPr>
          <w:rFonts w:ascii="Times New Roman" w:hAnsi="Times New Roman"/>
          <w:sz w:val="24"/>
          <w:szCs w:val="24"/>
        </w:rPr>
      </w:pPr>
    </w:p>
    <w:p w:rsidR="00C32E91" w:rsidRDefault="001F4770" w:rsidP="005C41A1">
      <w:pPr>
        <w:pStyle w:val="a3"/>
        <w:ind w:left="-567"/>
        <w:jc w:val="both"/>
        <w:rPr>
          <w:rFonts w:ascii="Times New Roman" w:hAnsi="Times New Roman"/>
          <w:color w:val="000000"/>
          <w:sz w:val="24"/>
          <w:szCs w:val="24"/>
        </w:rPr>
      </w:pPr>
      <w:r w:rsidRPr="00C32E91">
        <w:rPr>
          <w:rFonts w:ascii="Times New Roman" w:hAnsi="Times New Roman"/>
          <w:color w:val="000000"/>
          <w:sz w:val="24"/>
          <w:szCs w:val="24"/>
        </w:rPr>
        <w:t xml:space="preserve">Продолжительность </w:t>
      </w:r>
      <w:proofErr w:type="spellStart"/>
      <w:r w:rsidRPr="00C32E91">
        <w:rPr>
          <w:rFonts w:ascii="Times New Roman" w:hAnsi="Times New Roman"/>
          <w:color w:val="000000"/>
          <w:sz w:val="24"/>
          <w:szCs w:val="24"/>
        </w:rPr>
        <w:t>видеосеминара</w:t>
      </w:r>
      <w:proofErr w:type="spellEnd"/>
      <w:r w:rsidRPr="00C32E91">
        <w:rPr>
          <w:rFonts w:ascii="Times New Roman" w:hAnsi="Times New Roman"/>
          <w:color w:val="000000"/>
          <w:sz w:val="24"/>
          <w:szCs w:val="24"/>
        </w:rPr>
        <w:t xml:space="preserve"> составляет </w:t>
      </w:r>
      <w:r w:rsidR="000365C4">
        <w:rPr>
          <w:rFonts w:ascii="Times New Roman" w:hAnsi="Times New Roman"/>
          <w:color w:val="000000"/>
          <w:sz w:val="24"/>
          <w:szCs w:val="24"/>
        </w:rPr>
        <w:t>6</w:t>
      </w:r>
      <w:r w:rsidRPr="00C32E91">
        <w:rPr>
          <w:rFonts w:ascii="Times New Roman" w:hAnsi="Times New Roman"/>
          <w:color w:val="000000"/>
          <w:sz w:val="24"/>
          <w:szCs w:val="24"/>
        </w:rPr>
        <w:t xml:space="preserve"> академических час</w:t>
      </w:r>
      <w:r w:rsidR="004314D6">
        <w:rPr>
          <w:rFonts w:ascii="Times New Roman" w:hAnsi="Times New Roman"/>
          <w:color w:val="000000"/>
          <w:sz w:val="24"/>
          <w:szCs w:val="24"/>
        </w:rPr>
        <w:t>ов</w:t>
      </w:r>
      <w:r w:rsidR="00C32E91">
        <w:rPr>
          <w:rFonts w:ascii="Times New Roman" w:hAnsi="Times New Roman"/>
          <w:color w:val="000000"/>
          <w:sz w:val="24"/>
          <w:szCs w:val="24"/>
        </w:rPr>
        <w:t xml:space="preserve">. </w:t>
      </w:r>
      <w:r w:rsidR="00BD0CE0">
        <w:rPr>
          <w:rFonts w:ascii="Times New Roman" w:hAnsi="Times New Roman"/>
          <w:color w:val="000000"/>
          <w:sz w:val="24"/>
          <w:szCs w:val="24"/>
        </w:rPr>
        <w:t xml:space="preserve">Срок предоставления </w:t>
      </w:r>
      <w:proofErr w:type="spellStart"/>
      <w:r w:rsidR="00BD0CE0">
        <w:rPr>
          <w:rFonts w:ascii="Times New Roman" w:hAnsi="Times New Roman"/>
          <w:color w:val="000000"/>
          <w:sz w:val="24"/>
          <w:szCs w:val="24"/>
        </w:rPr>
        <w:t>видеосеминара</w:t>
      </w:r>
      <w:proofErr w:type="spellEnd"/>
      <w:r w:rsidR="00BD0CE0">
        <w:rPr>
          <w:rFonts w:ascii="Times New Roman" w:hAnsi="Times New Roman"/>
          <w:color w:val="000000"/>
          <w:sz w:val="24"/>
          <w:szCs w:val="24"/>
        </w:rPr>
        <w:t xml:space="preserve"> составляет </w:t>
      </w:r>
      <w:r w:rsidR="000365C4">
        <w:rPr>
          <w:rFonts w:ascii="Times New Roman" w:hAnsi="Times New Roman"/>
          <w:color w:val="000000"/>
          <w:sz w:val="24"/>
          <w:szCs w:val="24"/>
        </w:rPr>
        <w:t>5</w:t>
      </w:r>
      <w:r w:rsidR="00BD0CE0">
        <w:rPr>
          <w:rFonts w:ascii="Times New Roman" w:hAnsi="Times New Roman"/>
          <w:color w:val="000000"/>
          <w:sz w:val="24"/>
          <w:szCs w:val="24"/>
        </w:rPr>
        <w:t xml:space="preserve"> календарных дня удобные для Вас. </w:t>
      </w:r>
    </w:p>
    <w:p w:rsidR="00C32E91" w:rsidRDefault="00C32E91" w:rsidP="005C41A1">
      <w:pPr>
        <w:pStyle w:val="a3"/>
        <w:ind w:left="-567"/>
        <w:jc w:val="both"/>
        <w:rPr>
          <w:rFonts w:ascii="Times New Roman" w:hAnsi="Times New Roman"/>
          <w:color w:val="000000"/>
          <w:sz w:val="24"/>
          <w:szCs w:val="24"/>
        </w:rPr>
      </w:pPr>
    </w:p>
    <w:p w:rsidR="00680149" w:rsidRDefault="00680149" w:rsidP="00BD0CE0">
      <w:pPr>
        <w:pStyle w:val="a3"/>
        <w:ind w:left="-567"/>
        <w:jc w:val="both"/>
        <w:rPr>
          <w:rFonts w:ascii="Times New Roman" w:hAnsi="Times New Roman"/>
          <w:color w:val="000000"/>
          <w:sz w:val="24"/>
          <w:szCs w:val="24"/>
        </w:rPr>
      </w:pPr>
      <w:r>
        <w:rPr>
          <w:rFonts w:ascii="Times New Roman" w:hAnsi="Times New Roman"/>
          <w:color w:val="000000"/>
          <w:sz w:val="24"/>
          <w:szCs w:val="24"/>
        </w:rPr>
        <w:t xml:space="preserve">Дата создания </w:t>
      </w:r>
      <w:proofErr w:type="spellStart"/>
      <w:r>
        <w:rPr>
          <w:rFonts w:ascii="Times New Roman" w:hAnsi="Times New Roman"/>
          <w:color w:val="000000"/>
          <w:sz w:val="24"/>
          <w:szCs w:val="24"/>
        </w:rPr>
        <w:t>видеосеминара</w:t>
      </w:r>
      <w:proofErr w:type="spellEnd"/>
      <w:r>
        <w:rPr>
          <w:rFonts w:ascii="Times New Roman" w:hAnsi="Times New Roman"/>
          <w:color w:val="000000"/>
          <w:sz w:val="24"/>
          <w:szCs w:val="24"/>
        </w:rPr>
        <w:t>: 23 мая 2024 года.</w:t>
      </w:r>
    </w:p>
    <w:p w:rsidR="00680149" w:rsidRDefault="00680149" w:rsidP="00BD0CE0">
      <w:pPr>
        <w:pStyle w:val="a3"/>
        <w:ind w:left="-567"/>
        <w:jc w:val="both"/>
        <w:rPr>
          <w:rFonts w:ascii="Times New Roman" w:hAnsi="Times New Roman"/>
          <w:color w:val="000000"/>
          <w:sz w:val="24"/>
          <w:szCs w:val="24"/>
        </w:rPr>
      </w:pPr>
    </w:p>
    <w:p w:rsidR="00BD0CE0" w:rsidRDefault="00C32E91" w:rsidP="00BD0CE0">
      <w:pPr>
        <w:pStyle w:val="a3"/>
        <w:ind w:left="-567"/>
        <w:jc w:val="both"/>
        <w:rPr>
          <w:rFonts w:ascii="Times New Roman" w:hAnsi="Times New Roman"/>
          <w:color w:val="000000"/>
          <w:sz w:val="24"/>
          <w:szCs w:val="24"/>
        </w:rPr>
      </w:pPr>
      <w:r>
        <w:rPr>
          <w:rFonts w:ascii="Times New Roman" w:hAnsi="Times New Roman"/>
          <w:color w:val="000000"/>
          <w:sz w:val="24"/>
          <w:szCs w:val="24"/>
        </w:rPr>
        <w:t>В состав</w:t>
      </w:r>
      <w:r w:rsidRPr="00C32E91">
        <w:rPr>
          <w:rFonts w:ascii="Times New Roman" w:hAnsi="Times New Roman"/>
          <w:color w:val="000000"/>
          <w:sz w:val="24"/>
          <w:szCs w:val="24"/>
        </w:rPr>
        <w:t xml:space="preserve"> </w:t>
      </w:r>
      <w:proofErr w:type="spellStart"/>
      <w:r>
        <w:rPr>
          <w:rFonts w:ascii="Times New Roman" w:hAnsi="Times New Roman"/>
          <w:color w:val="000000"/>
          <w:sz w:val="24"/>
          <w:szCs w:val="24"/>
        </w:rPr>
        <w:t>видеосеминара</w:t>
      </w:r>
      <w:proofErr w:type="spellEnd"/>
      <w:r>
        <w:rPr>
          <w:rFonts w:ascii="Times New Roman" w:hAnsi="Times New Roman"/>
          <w:color w:val="000000"/>
          <w:sz w:val="24"/>
          <w:szCs w:val="24"/>
        </w:rPr>
        <w:t xml:space="preserve"> вход</w:t>
      </w:r>
      <w:r w:rsidR="004314D6">
        <w:rPr>
          <w:rFonts w:ascii="Times New Roman" w:hAnsi="Times New Roman"/>
          <w:color w:val="000000"/>
          <w:sz w:val="24"/>
          <w:szCs w:val="24"/>
        </w:rPr>
        <w:t>я</w:t>
      </w:r>
      <w:r>
        <w:rPr>
          <w:rFonts w:ascii="Times New Roman" w:hAnsi="Times New Roman"/>
          <w:color w:val="000000"/>
          <w:sz w:val="24"/>
          <w:szCs w:val="24"/>
        </w:rPr>
        <w:t xml:space="preserve">т </w:t>
      </w:r>
      <w:proofErr w:type="spellStart"/>
      <w:r>
        <w:rPr>
          <w:rFonts w:ascii="Times New Roman" w:hAnsi="Times New Roman"/>
          <w:color w:val="000000"/>
          <w:sz w:val="24"/>
          <w:szCs w:val="24"/>
        </w:rPr>
        <w:t>видеолекция</w:t>
      </w:r>
      <w:proofErr w:type="spellEnd"/>
      <w:r>
        <w:rPr>
          <w:rFonts w:ascii="Times New Roman" w:hAnsi="Times New Roman"/>
          <w:color w:val="000000"/>
          <w:sz w:val="24"/>
          <w:szCs w:val="24"/>
        </w:rPr>
        <w:t xml:space="preserve"> и презентаци</w:t>
      </w:r>
      <w:r w:rsidR="000365C4">
        <w:rPr>
          <w:rFonts w:ascii="Times New Roman" w:hAnsi="Times New Roman"/>
          <w:color w:val="000000"/>
          <w:sz w:val="24"/>
          <w:szCs w:val="24"/>
        </w:rPr>
        <w:t>и</w:t>
      </w:r>
      <w:r>
        <w:rPr>
          <w:rFonts w:ascii="Times New Roman" w:hAnsi="Times New Roman"/>
          <w:color w:val="000000"/>
          <w:sz w:val="24"/>
          <w:szCs w:val="24"/>
        </w:rPr>
        <w:t>.</w:t>
      </w:r>
    </w:p>
    <w:p w:rsidR="00BD0CE0" w:rsidRDefault="00BD0CE0" w:rsidP="00BD0CE0">
      <w:pPr>
        <w:pStyle w:val="a3"/>
        <w:ind w:left="-567"/>
        <w:jc w:val="both"/>
        <w:rPr>
          <w:rFonts w:ascii="Times New Roman" w:hAnsi="Times New Roman"/>
          <w:color w:val="000000"/>
          <w:sz w:val="24"/>
          <w:szCs w:val="24"/>
        </w:rPr>
      </w:pPr>
    </w:p>
    <w:p w:rsidR="00BD0CE0" w:rsidRDefault="001F4770" w:rsidP="00BD0CE0">
      <w:pPr>
        <w:pStyle w:val="a3"/>
        <w:ind w:left="-567"/>
        <w:jc w:val="both"/>
        <w:rPr>
          <w:rFonts w:ascii="Times New Roman" w:hAnsi="Times New Roman"/>
          <w:color w:val="000000"/>
          <w:sz w:val="24"/>
          <w:szCs w:val="24"/>
        </w:rPr>
      </w:pPr>
      <w:r>
        <w:rPr>
          <w:rFonts w:ascii="Times New Roman" w:hAnsi="Times New Roman"/>
          <w:color w:val="000000"/>
          <w:sz w:val="24"/>
          <w:szCs w:val="24"/>
        </w:rPr>
        <w:t xml:space="preserve">Обучение проходит в дистанционной форме с использованием онлайн-платформы Института МФЦ, которая доступна как из браузера, так и из стандартного приложения для </w:t>
      </w:r>
      <w:proofErr w:type="spellStart"/>
      <w:r>
        <w:rPr>
          <w:rFonts w:ascii="Times New Roman" w:hAnsi="Times New Roman"/>
          <w:color w:val="000000"/>
          <w:sz w:val="24"/>
          <w:szCs w:val="24"/>
        </w:rPr>
        <w:t>iOS</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Android</w:t>
      </w:r>
      <w:proofErr w:type="spellEnd"/>
      <w:r>
        <w:rPr>
          <w:rFonts w:ascii="Times New Roman" w:hAnsi="Times New Roman"/>
          <w:color w:val="000000"/>
          <w:sz w:val="24"/>
          <w:szCs w:val="24"/>
        </w:rPr>
        <w:t>. </w:t>
      </w:r>
    </w:p>
    <w:p w:rsidR="00BD0CE0" w:rsidRDefault="00BD0CE0" w:rsidP="00BD0CE0">
      <w:pPr>
        <w:pStyle w:val="a3"/>
        <w:ind w:left="-567"/>
        <w:jc w:val="both"/>
        <w:rPr>
          <w:rFonts w:ascii="Times New Roman" w:hAnsi="Times New Roman"/>
          <w:color w:val="000000"/>
          <w:sz w:val="24"/>
          <w:szCs w:val="24"/>
        </w:rPr>
      </w:pPr>
    </w:p>
    <w:p w:rsidR="005C187A" w:rsidRDefault="005C187A" w:rsidP="005C187A">
      <w:pPr>
        <w:pStyle w:val="a3"/>
        <w:ind w:left="-567"/>
        <w:jc w:val="both"/>
        <w:rPr>
          <w:rFonts w:ascii="Times New Roman" w:hAnsi="Times New Roman"/>
          <w:color w:val="000000"/>
          <w:sz w:val="24"/>
          <w:szCs w:val="24"/>
        </w:rPr>
      </w:pPr>
      <w:r w:rsidRPr="006766DB">
        <w:rPr>
          <w:rFonts w:ascii="Times New Roman" w:hAnsi="Times New Roman"/>
          <w:b/>
          <w:color w:val="000000"/>
          <w:sz w:val="24"/>
          <w:szCs w:val="24"/>
        </w:rPr>
        <w:t>Стоимость</w:t>
      </w:r>
      <w:r>
        <w:rPr>
          <w:rFonts w:ascii="Times New Roman" w:hAnsi="Times New Roman"/>
          <w:color w:val="000000"/>
          <w:sz w:val="24"/>
          <w:szCs w:val="24"/>
        </w:rPr>
        <w:t xml:space="preserve"> </w:t>
      </w:r>
      <w:proofErr w:type="spellStart"/>
      <w:r>
        <w:rPr>
          <w:rFonts w:ascii="Times New Roman" w:hAnsi="Times New Roman"/>
          <w:color w:val="000000"/>
          <w:sz w:val="24"/>
          <w:szCs w:val="24"/>
        </w:rPr>
        <w:t>видеосеминара</w:t>
      </w:r>
      <w:proofErr w:type="spellEnd"/>
      <w:r>
        <w:rPr>
          <w:rFonts w:ascii="Times New Roman" w:hAnsi="Times New Roman"/>
          <w:color w:val="000000"/>
          <w:sz w:val="24"/>
          <w:szCs w:val="24"/>
        </w:rPr>
        <w:t xml:space="preserve"> составляет </w:t>
      </w:r>
      <w:r w:rsidR="000365C4">
        <w:rPr>
          <w:rFonts w:ascii="Times New Roman" w:hAnsi="Times New Roman"/>
          <w:color w:val="000000"/>
          <w:sz w:val="24"/>
          <w:szCs w:val="24"/>
        </w:rPr>
        <w:t>12 000</w:t>
      </w:r>
      <w:r>
        <w:rPr>
          <w:rFonts w:ascii="Times New Roman" w:hAnsi="Times New Roman"/>
          <w:color w:val="000000"/>
          <w:sz w:val="24"/>
          <w:szCs w:val="24"/>
        </w:rPr>
        <w:t xml:space="preserve"> (</w:t>
      </w:r>
      <w:r w:rsidR="000365C4">
        <w:rPr>
          <w:rFonts w:ascii="Times New Roman" w:hAnsi="Times New Roman"/>
          <w:color w:val="000000"/>
          <w:sz w:val="24"/>
          <w:szCs w:val="24"/>
        </w:rPr>
        <w:t>Двенадцать</w:t>
      </w:r>
      <w:r>
        <w:rPr>
          <w:rFonts w:ascii="Times New Roman" w:hAnsi="Times New Roman"/>
          <w:color w:val="000000"/>
          <w:sz w:val="24"/>
          <w:szCs w:val="24"/>
        </w:rPr>
        <w:t xml:space="preserve"> тысяч) рублей. </w:t>
      </w:r>
      <w:r w:rsidRPr="00B63DF5">
        <w:rPr>
          <w:rFonts w:ascii="Times New Roman" w:hAnsi="Times New Roman"/>
          <w:b/>
          <w:bCs/>
          <w:sz w:val="24"/>
          <w:szCs w:val="24"/>
        </w:rPr>
        <w:t>Скидк</w:t>
      </w:r>
      <w:r>
        <w:rPr>
          <w:rFonts w:ascii="Times New Roman" w:hAnsi="Times New Roman"/>
          <w:b/>
          <w:bCs/>
          <w:sz w:val="24"/>
          <w:szCs w:val="24"/>
        </w:rPr>
        <w:t>а</w:t>
      </w:r>
      <w:r w:rsidRPr="00B63DF5">
        <w:rPr>
          <w:rFonts w:ascii="Times New Roman" w:hAnsi="Times New Roman"/>
          <w:sz w:val="24"/>
          <w:szCs w:val="24"/>
        </w:rPr>
        <w:t xml:space="preserve"> в размере </w:t>
      </w:r>
      <w:r w:rsidRPr="00B63DF5">
        <w:rPr>
          <w:rFonts w:ascii="Times New Roman" w:hAnsi="Times New Roman"/>
          <w:b/>
          <w:bCs/>
          <w:sz w:val="24"/>
          <w:szCs w:val="24"/>
        </w:rPr>
        <w:t>10 процентов</w:t>
      </w:r>
      <w:r w:rsidRPr="00B63DF5">
        <w:rPr>
          <w:rFonts w:ascii="Times New Roman" w:hAnsi="Times New Roman"/>
          <w:sz w:val="24"/>
          <w:szCs w:val="24"/>
        </w:rPr>
        <w:t xml:space="preserve"> предоставля</w:t>
      </w:r>
      <w:r w:rsidR="004314D6">
        <w:rPr>
          <w:rFonts w:ascii="Times New Roman" w:hAnsi="Times New Roman"/>
          <w:sz w:val="24"/>
          <w:szCs w:val="24"/>
        </w:rPr>
        <w:t>е</w:t>
      </w:r>
      <w:r w:rsidRPr="00B63DF5">
        <w:rPr>
          <w:rFonts w:ascii="Times New Roman" w:hAnsi="Times New Roman"/>
          <w:sz w:val="24"/>
          <w:szCs w:val="24"/>
        </w:rPr>
        <w:t>тся клиентам Института/Учебного центра МФЦ</w:t>
      </w:r>
    </w:p>
    <w:p w:rsidR="00BD0CE0" w:rsidRDefault="00BD0CE0" w:rsidP="00BD0CE0">
      <w:pPr>
        <w:pStyle w:val="a3"/>
        <w:ind w:left="-567"/>
        <w:jc w:val="both"/>
        <w:rPr>
          <w:rFonts w:ascii="Times New Roman" w:hAnsi="Times New Roman"/>
          <w:color w:val="000000"/>
          <w:sz w:val="24"/>
          <w:szCs w:val="24"/>
        </w:rPr>
      </w:pPr>
    </w:p>
    <w:p w:rsidR="001F4770" w:rsidRDefault="001F4770" w:rsidP="00BD0CE0">
      <w:pPr>
        <w:pStyle w:val="a3"/>
        <w:ind w:left="-567"/>
        <w:jc w:val="both"/>
        <w:rPr>
          <w:rFonts w:ascii="Times New Roman" w:hAnsi="Times New Roman"/>
          <w:color w:val="000000"/>
          <w:sz w:val="24"/>
          <w:szCs w:val="24"/>
        </w:rPr>
      </w:pPr>
      <w:r>
        <w:rPr>
          <w:rFonts w:ascii="Times New Roman" w:hAnsi="Times New Roman"/>
          <w:color w:val="000000"/>
          <w:sz w:val="24"/>
          <w:szCs w:val="24"/>
        </w:rPr>
        <w:t>Менеджер и эксперт Института МФЦ сопровождают обучающихся, помогая решать, как организационные вопросы, так и отвечая на вопросы слушателей по содержанию обучения.</w:t>
      </w:r>
    </w:p>
    <w:p w:rsidR="001F4770" w:rsidRDefault="001F4770" w:rsidP="005C41A1">
      <w:pPr>
        <w:pStyle w:val="a3"/>
        <w:ind w:left="-567"/>
        <w:jc w:val="both"/>
        <w:rPr>
          <w:rFonts w:ascii="Times New Roman" w:hAnsi="Times New Roman"/>
          <w:sz w:val="24"/>
          <w:szCs w:val="24"/>
        </w:rPr>
      </w:pPr>
    </w:p>
    <w:p w:rsidR="00BD0CE0" w:rsidRPr="005C41A1" w:rsidRDefault="00BD0CE0" w:rsidP="005C41A1">
      <w:pPr>
        <w:pStyle w:val="a3"/>
        <w:ind w:left="-567"/>
        <w:jc w:val="both"/>
        <w:rPr>
          <w:rFonts w:ascii="Times New Roman" w:hAnsi="Times New Roman"/>
          <w:sz w:val="24"/>
          <w:szCs w:val="24"/>
        </w:rPr>
      </w:pPr>
      <w:r>
        <w:rPr>
          <w:rFonts w:ascii="Times New Roman" w:hAnsi="Times New Roman"/>
          <w:i/>
          <w:iCs/>
          <w:color w:val="000000"/>
          <w:sz w:val="24"/>
          <w:szCs w:val="24"/>
          <w:lang w:eastAsia="ru-RU"/>
        </w:rPr>
        <w:t xml:space="preserve">По вопросам приобретения </w:t>
      </w:r>
      <w:proofErr w:type="spellStart"/>
      <w:r>
        <w:rPr>
          <w:rFonts w:ascii="Times New Roman" w:hAnsi="Times New Roman"/>
          <w:i/>
          <w:iCs/>
          <w:color w:val="000000"/>
          <w:sz w:val="24"/>
          <w:szCs w:val="24"/>
          <w:lang w:eastAsia="ru-RU"/>
        </w:rPr>
        <w:t>видеосеминара</w:t>
      </w:r>
      <w:proofErr w:type="spellEnd"/>
      <w:r>
        <w:rPr>
          <w:rFonts w:ascii="Times New Roman" w:hAnsi="Times New Roman"/>
          <w:i/>
          <w:iCs/>
          <w:color w:val="000000"/>
          <w:sz w:val="24"/>
          <w:szCs w:val="24"/>
          <w:lang w:eastAsia="ru-RU"/>
        </w:rPr>
        <w:t xml:space="preserve"> просьба обращаться к куратору </w:t>
      </w:r>
      <w:proofErr w:type="spellStart"/>
      <w:r>
        <w:rPr>
          <w:rFonts w:ascii="Times New Roman" w:hAnsi="Times New Roman"/>
          <w:i/>
          <w:iCs/>
          <w:color w:val="000000"/>
          <w:sz w:val="24"/>
          <w:szCs w:val="24"/>
          <w:lang w:eastAsia="ru-RU"/>
        </w:rPr>
        <w:t>видеосеминара</w:t>
      </w:r>
      <w:proofErr w:type="spellEnd"/>
      <w:r>
        <w:rPr>
          <w:rFonts w:ascii="Times New Roman" w:hAnsi="Times New Roman"/>
          <w:i/>
          <w:iCs/>
          <w:color w:val="000000"/>
          <w:sz w:val="24"/>
          <w:szCs w:val="24"/>
          <w:lang w:eastAsia="ru-RU"/>
        </w:rPr>
        <w:t xml:space="preserve"> </w:t>
      </w:r>
      <w:r w:rsidRPr="00763E65">
        <w:rPr>
          <w:rFonts w:ascii="Times New Roman" w:hAnsi="Times New Roman"/>
          <w:i/>
          <w:iCs/>
          <w:sz w:val="24"/>
          <w:szCs w:val="24"/>
        </w:rPr>
        <w:t>Ивановой Марии</w:t>
      </w:r>
      <w:r>
        <w:rPr>
          <w:rFonts w:ascii="Times New Roman" w:hAnsi="Times New Roman"/>
          <w:i/>
          <w:iCs/>
          <w:sz w:val="24"/>
          <w:szCs w:val="24"/>
        </w:rPr>
        <w:t xml:space="preserve"> </w:t>
      </w:r>
      <w:r w:rsidRPr="00763E65">
        <w:rPr>
          <w:rFonts w:ascii="Times New Roman" w:hAnsi="Times New Roman"/>
          <w:i/>
          <w:iCs/>
          <w:sz w:val="24"/>
          <w:szCs w:val="24"/>
        </w:rPr>
        <w:t>по</w:t>
      </w:r>
      <w:r w:rsidRPr="00763E65">
        <w:rPr>
          <w:rFonts w:ascii="Times New Roman" w:hAnsi="Times New Roman"/>
          <w:b/>
          <w:bCs/>
          <w:i/>
          <w:iCs/>
          <w:sz w:val="24"/>
          <w:szCs w:val="24"/>
        </w:rPr>
        <w:t xml:space="preserve"> </w:t>
      </w:r>
      <w:r w:rsidRPr="00BD0CE0">
        <w:rPr>
          <w:rFonts w:ascii="Times New Roman" w:hAnsi="Times New Roman"/>
          <w:bCs/>
          <w:i/>
          <w:iCs/>
          <w:sz w:val="24"/>
          <w:szCs w:val="24"/>
        </w:rPr>
        <w:t xml:space="preserve">тел./ф. +7(495) 921-2273 до. </w:t>
      </w:r>
      <w:proofErr w:type="gramStart"/>
      <w:r w:rsidRPr="00BD0CE0">
        <w:rPr>
          <w:rFonts w:ascii="Times New Roman" w:hAnsi="Times New Roman"/>
          <w:bCs/>
          <w:i/>
          <w:iCs/>
          <w:sz w:val="24"/>
          <w:szCs w:val="24"/>
        </w:rPr>
        <w:t>134 ;</w:t>
      </w:r>
      <w:proofErr w:type="gramEnd"/>
      <w:r w:rsidRPr="00BD0CE0">
        <w:rPr>
          <w:rFonts w:ascii="Times New Roman" w:hAnsi="Times New Roman"/>
          <w:bCs/>
          <w:i/>
          <w:iCs/>
          <w:sz w:val="24"/>
          <w:szCs w:val="24"/>
        </w:rPr>
        <w:t xml:space="preserve"> </w:t>
      </w:r>
      <w:r w:rsidRPr="00BD0CE0">
        <w:rPr>
          <w:rFonts w:ascii="Times New Roman" w:hAnsi="Times New Roman"/>
          <w:bCs/>
          <w:i/>
          <w:iCs/>
          <w:sz w:val="24"/>
          <w:szCs w:val="24"/>
          <w:lang w:val="en-US"/>
        </w:rPr>
        <w:t>e</w:t>
      </w:r>
      <w:r w:rsidRPr="00BD0CE0">
        <w:rPr>
          <w:rFonts w:ascii="Times New Roman" w:hAnsi="Times New Roman"/>
          <w:bCs/>
          <w:i/>
          <w:iCs/>
          <w:sz w:val="24"/>
          <w:szCs w:val="24"/>
        </w:rPr>
        <w:t>-</w:t>
      </w:r>
      <w:r w:rsidRPr="00BD0CE0">
        <w:rPr>
          <w:rFonts w:ascii="Times New Roman" w:hAnsi="Times New Roman"/>
          <w:bCs/>
          <w:i/>
          <w:iCs/>
          <w:sz w:val="24"/>
          <w:szCs w:val="24"/>
          <w:lang w:val="en-US"/>
        </w:rPr>
        <w:t>mail</w:t>
      </w:r>
      <w:r w:rsidRPr="00BD0CE0">
        <w:rPr>
          <w:rFonts w:ascii="Times New Roman" w:hAnsi="Times New Roman"/>
          <w:bCs/>
          <w:i/>
          <w:iCs/>
          <w:sz w:val="24"/>
          <w:szCs w:val="24"/>
        </w:rPr>
        <w:t>:</w:t>
      </w:r>
      <w:r w:rsidRPr="00763E65">
        <w:rPr>
          <w:rFonts w:ascii="Times New Roman" w:hAnsi="Times New Roman"/>
          <w:b/>
          <w:bCs/>
          <w:i/>
          <w:iCs/>
          <w:sz w:val="24"/>
          <w:szCs w:val="24"/>
        </w:rPr>
        <w:t xml:space="preserve"> </w:t>
      </w:r>
      <w:r w:rsidRPr="00763E65">
        <w:rPr>
          <w:rFonts w:ascii="Times New Roman" w:hAnsi="Times New Roman"/>
          <w:b/>
          <w:bCs/>
          <w:i/>
          <w:iCs/>
          <w:color w:val="0000FF"/>
          <w:sz w:val="24"/>
          <w:szCs w:val="24"/>
          <w:u w:val="single"/>
          <w:lang w:val="en-US"/>
        </w:rPr>
        <w:t>seminar</w:t>
      </w:r>
      <w:r w:rsidRPr="00763E65">
        <w:rPr>
          <w:rFonts w:ascii="Times New Roman" w:hAnsi="Times New Roman"/>
          <w:b/>
          <w:bCs/>
          <w:i/>
          <w:iCs/>
          <w:color w:val="0000FF"/>
          <w:sz w:val="24"/>
          <w:szCs w:val="24"/>
          <w:u w:val="single"/>
        </w:rPr>
        <w:t>2@educenter.ru</w:t>
      </w:r>
    </w:p>
    <w:sectPr w:rsidR="00BD0CE0" w:rsidRPr="005C41A1" w:rsidSect="00BD0CE0">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5B31"/>
    <w:multiLevelType w:val="hybridMultilevel"/>
    <w:tmpl w:val="6A5CA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962F56"/>
    <w:multiLevelType w:val="multilevel"/>
    <w:tmpl w:val="EA20771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5C916733"/>
    <w:multiLevelType w:val="multilevel"/>
    <w:tmpl w:val="411C5C06"/>
    <w:lvl w:ilvl="0">
      <w:start w:val="1"/>
      <w:numFmt w:val="decimal"/>
      <w:lvlText w:val="%1."/>
      <w:lvlJc w:val="left"/>
      <w:pPr>
        <w:ind w:left="720" w:hanging="360"/>
      </w:p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3" w15:restartNumberingAfterBreak="0">
    <w:nsid w:val="7A0E361A"/>
    <w:multiLevelType w:val="multilevel"/>
    <w:tmpl w:val="64D269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60"/>
    <w:rsid w:val="000365C4"/>
    <w:rsid w:val="001F4770"/>
    <w:rsid w:val="004314D6"/>
    <w:rsid w:val="005C187A"/>
    <w:rsid w:val="005C41A1"/>
    <w:rsid w:val="00676EB1"/>
    <w:rsid w:val="00680149"/>
    <w:rsid w:val="007F0E48"/>
    <w:rsid w:val="00996860"/>
    <w:rsid w:val="00AC3931"/>
    <w:rsid w:val="00BD0CE0"/>
    <w:rsid w:val="00C3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80A7"/>
  <w15:chartTrackingRefBased/>
  <w15:docId w15:val="{F1123015-4534-47E2-80D1-9479C778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96860"/>
    <w:pPr>
      <w:keepNext/>
      <w:spacing w:after="0" w:line="240" w:lineRule="auto"/>
      <w:ind w:left="-840" w:right="-765"/>
      <w:jc w:val="center"/>
      <w:outlineLvl w:val="0"/>
    </w:pPr>
    <w:rPr>
      <w:rFonts w:ascii="Arial" w:eastAsia="Times New Roman" w:hAnsi="Arial" w:cs="Arial"/>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96860"/>
    <w:pPr>
      <w:widowControl w:val="0"/>
      <w:spacing w:after="0" w:line="240" w:lineRule="auto"/>
    </w:pPr>
    <w:rPr>
      <w:rFonts w:ascii="Calibri" w:eastAsia="Times New Roman" w:hAnsi="Calibri" w:cs="Times New Roman"/>
      <w:lang w:val="en-US"/>
    </w:rPr>
  </w:style>
  <w:style w:type="character" w:customStyle="1" w:styleId="10">
    <w:name w:val="Заголовок 1 Знак"/>
    <w:basedOn w:val="a0"/>
    <w:link w:val="1"/>
    <w:uiPriority w:val="99"/>
    <w:rsid w:val="00996860"/>
    <w:rPr>
      <w:rFonts w:ascii="Arial" w:eastAsia="Times New Roman" w:hAnsi="Arial" w:cs="Arial"/>
      <w:b/>
      <w:bCs/>
      <w:i/>
      <w:iCs/>
      <w:sz w:val="24"/>
      <w:szCs w:val="24"/>
      <w:lang w:eastAsia="ru-RU"/>
    </w:rPr>
  </w:style>
  <w:style w:type="paragraph" w:styleId="a3">
    <w:name w:val="Plain Text"/>
    <w:basedOn w:val="a"/>
    <w:link w:val="a4"/>
    <w:uiPriority w:val="99"/>
    <w:unhideWhenUsed/>
    <w:rsid w:val="00996860"/>
    <w:pPr>
      <w:spacing w:after="0" w:line="240" w:lineRule="auto"/>
    </w:pPr>
    <w:rPr>
      <w:rFonts w:ascii="Calibri" w:eastAsia="Times New Roman" w:hAnsi="Calibri" w:cs="Times New Roman"/>
      <w:szCs w:val="21"/>
    </w:rPr>
  </w:style>
  <w:style w:type="character" w:customStyle="1" w:styleId="a4">
    <w:name w:val="Текст Знак"/>
    <w:basedOn w:val="a0"/>
    <w:link w:val="a3"/>
    <w:uiPriority w:val="99"/>
    <w:rsid w:val="00996860"/>
    <w:rPr>
      <w:rFonts w:ascii="Calibri" w:eastAsia="Times New Roman" w:hAnsi="Calibri" w:cs="Times New Roman"/>
      <w:szCs w:val="21"/>
    </w:rPr>
  </w:style>
  <w:style w:type="character" w:styleId="a5">
    <w:name w:val="Hyperlink"/>
    <w:basedOn w:val="a0"/>
    <w:uiPriority w:val="99"/>
    <w:unhideWhenUsed/>
    <w:rsid w:val="00996860"/>
    <w:rPr>
      <w:color w:val="0563C1" w:themeColor="hyperlink"/>
      <w:u w:val="single"/>
    </w:rPr>
  </w:style>
  <w:style w:type="paragraph" w:styleId="a6">
    <w:name w:val="List Paragraph"/>
    <w:basedOn w:val="a"/>
    <w:uiPriority w:val="34"/>
    <w:qFormat/>
    <w:rsid w:val="000365C4"/>
    <w:pPr>
      <w:spacing w:after="0" w:line="240" w:lineRule="auto"/>
      <w:ind w:left="720"/>
      <w:contextualSpacing/>
      <w:jc w:val="both"/>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3525">
      <w:bodyDiv w:val="1"/>
      <w:marLeft w:val="0"/>
      <w:marRight w:val="0"/>
      <w:marTop w:val="0"/>
      <w:marBottom w:val="0"/>
      <w:divBdr>
        <w:top w:val="none" w:sz="0" w:space="0" w:color="auto"/>
        <w:left w:val="none" w:sz="0" w:space="0" w:color="auto"/>
        <w:bottom w:val="none" w:sz="0" w:space="0" w:color="auto"/>
        <w:right w:val="none" w:sz="0" w:space="0" w:color="auto"/>
      </w:divBdr>
    </w:div>
    <w:div w:id="11698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3131EE4B0735448A5DF4DFD49CE001" ma:contentTypeVersion="12" ma:contentTypeDescription="Создание документа." ma:contentTypeScope="" ma:versionID="1ef52b1798f550d3df6e449ff3449f1d">
  <xsd:schema xmlns:xsd="http://www.w3.org/2001/XMLSchema" xmlns:xs="http://www.w3.org/2001/XMLSchema" xmlns:p="http://schemas.microsoft.com/office/2006/metadata/properties" xmlns:ns2="d9be09d1-73ac-4abe-9f96-67b591cea837" xmlns:ns3="021b3a4c-6b31-432b-b48c-926cf6a6cafc" targetNamespace="http://schemas.microsoft.com/office/2006/metadata/properties" ma:root="true" ma:fieldsID="adb4565ae06059586479d90fe8045cbf" ns2:_="" ns3:_="">
    <xsd:import namespace="d9be09d1-73ac-4abe-9f96-67b591cea837"/>
    <xsd:import namespace="021b3a4c-6b31-432b-b48c-926cf6a6ca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09d1-73ac-4abe-9f96-67b591cea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Теги изображений" ma:readOnly="false" ma:fieldId="{5cf76f15-5ced-4ddc-b409-7134ff3c332f}" ma:taxonomyMulti="true" ma:sspId="93a75a97-6b7a-4e33-a29a-43bc143ceb04"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b3a4c-6b31-432b-b48c-926cf6a6ca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b82a1f-df78-4be0-800d-bea7771eda54}" ma:internalName="TaxCatchAll" ma:showField="CatchAllData" ma:web="021b3a4c-6b31-432b-b48c-926cf6a6c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1b3a4c-6b31-432b-b48c-926cf6a6cafc" xsi:nil="true"/>
    <lcf76f155ced4ddcb4097134ff3c332f xmlns="d9be09d1-73ac-4abe-9f96-67b591cea8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B4B41-C0AE-4F47-95FB-000562D7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e09d1-73ac-4abe-9f96-67b591cea837"/>
    <ds:schemaRef ds:uri="021b3a4c-6b31-432b-b48c-926cf6a6c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20633-2638-476A-94E7-B7300346C643}">
  <ds:schemaRefs>
    <ds:schemaRef ds:uri="http://schemas.microsoft.com/office/2006/metadata/properties"/>
    <ds:schemaRef ds:uri="http://schemas.microsoft.com/office/infopath/2007/PartnerControls"/>
    <ds:schemaRef ds:uri="021b3a4c-6b31-432b-b48c-926cf6a6cafc"/>
    <ds:schemaRef ds:uri="d9be09d1-73ac-4abe-9f96-67b591cea837"/>
  </ds:schemaRefs>
</ds:datastoreItem>
</file>

<file path=customXml/itemProps3.xml><?xml version="1.0" encoding="utf-8"?>
<ds:datastoreItem xmlns:ds="http://schemas.openxmlformats.org/officeDocument/2006/customXml" ds:itemID="{BC3B5806-7AD0-4D68-899C-B79FFA124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Иванова</dc:creator>
  <cp:keywords/>
  <dc:description/>
  <cp:lastModifiedBy>Мария Шуваева</cp:lastModifiedBy>
  <cp:revision>2</cp:revision>
  <dcterms:created xsi:type="dcterms:W3CDTF">2024-06-05T09:28:00Z</dcterms:created>
  <dcterms:modified xsi:type="dcterms:W3CDTF">2024-06-05T09:28:00Z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0x010100503131EE4B0735448A5DF4DFD49CE001</vt:lpwstr>
  </property>
</Properties>
</file>